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0276">
      <w:pPr>
        <w:pStyle w:val="4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Equity-Based Processing Fee Policy</w:t>
      </w:r>
    </w:p>
    <w:p w14:paraId="41CC3664">
      <w:pPr>
        <w:pStyle w:val="4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1. Fee Structure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Journal of AI Production and Consumption (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 employs a two-tier fee structure to balance sustainability with our commitment to global equity.</w:t>
      </w:r>
    </w:p>
    <w:p w14:paraId="6A001F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Tier A (Supported Rate):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 fee of 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8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00 Ghana Cedis (GHS)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is available to all authors based in low- and middle-income countries* as well as to any author without dedicated research funding.</w:t>
      </w:r>
    </w:p>
    <w:p w14:paraId="490388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Tier B (Standard Token Rate):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 fee of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120 USD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is requested from authors who are based in high-income countries and who have sufficient grant or institutional funding to cover publication costs.</w:t>
      </w:r>
    </w:p>
    <w:p w14:paraId="7118FC0D">
      <w:pPr>
        <w:pStyle w:val="4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lang w:val="en-US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2. Waiver Policy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Our primary goal is the dissemination of knowledge, not financial gain.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Fee waivers are granted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 upon request to any author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who genuinely indicate the fee as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a barrier to publication.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jAIpc retains the right to accept or reject waivers.</w:t>
      </w:r>
    </w:p>
    <w:p w14:paraId="355B77FB">
      <w:pPr>
        <w:pStyle w:val="4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3. Transparency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All fees contribute to the operational costs of the journal, including platform hosting, editorial management software, and indexing services. We provide an annual public report on our funding and expenditures.</w:t>
      </w:r>
    </w:p>
    <w:p w14:paraId="62972D8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46D7"/>
    <w:rsid w:val="5FC622AB"/>
    <w:rsid w:val="688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2025-08-28T11:11:00Z</dcterms:created>
  <dc:creator>KEN PEPRAH</dc:creator>
  <cp:lastModifiedBy>KEN PEPRAH</cp:lastModifiedBy>
  <dcterms:modified xsi:type="dcterms:W3CDTF">2025-08-28T11:27:23Z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C426787EA6624B6295C3ECF640DAB015_11</vt:lpwstr>
  </property>
</Properties>
</file>