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D9E35">
      <w:pPr>
        <w:pStyle w:val="2"/>
        <w:keepNext w:val="0"/>
        <w:keepLines w:val="0"/>
        <w:widowControl/>
        <w:suppressLineNumbers w:val="0"/>
        <w:shd w:val="clear" w:fill="FFFFFF"/>
        <w:spacing w:before="183" w:beforeAutospacing="0" w:after="137" w:afterAutospacing="0" w:line="15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404040"/>
          <w:spacing w:val="0"/>
          <w:sz w:val="18"/>
          <w:szCs w:val="18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8"/>
          <w:szCs w:val="18"/>
          <w:shd w:val="clear" w:fill="FFFFFF"/>
        </w:rPr>
        <w:t>Research Data Policy</w:t>
      </w:r>
    </w:p>
    <w:p w14:paraId="0E4E2700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Journal of AI Production and Consumption (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)</w:t>
      </w:r>
    </w:p>
    <w:p w14:paraId="0AB8C968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1. Policy Philosophy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 Journal of AI Production and Consumption (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j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  <w:lang w:val="en-US"/>
        </w:rPr>
        <w:t>pc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) believes that access to research data is fundamental to the advancement of AI science. This policy is built on the FAIR Principles, advocating that data should be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F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indable,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ccessible,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I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nteroperable, and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R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eusable. We encourage open data to ensure transparency, enable reproducibility, and accelerate innovation.</w:t>
      </w:r>
    </w:p>
    <w:p w14:paraId="224D8B2D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2. Scope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This policy applies to the "data underlying the results" of the research. For AI research, this typically includes, but is not limited to:</w:t>
      </w:r>
    </w:p>
    <w:p w14:paraId="6589494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Datasets: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Curated training, validation, and testing data.</w:t>
      </w:r>
    </w:p>
    <w:p w14:paraId="51FE0D3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Code &amp; Algorithms: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Source code, scripts, and notebooks used for model training, inference, and analysis.</w:t>
      </w:r>
    </w:p>
    <w:p w14:paraId="7252812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Trained Models: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Pre-trained model weights and architectures (where feasible).</w:t>
      </w:r>
    </w:p>
    <w:p w14:paraId="29CB96B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Configuration &amp; Parameters: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Hyperparameters, feature engineering scripts, and environment details.</w:t>
      </w:r>
    </w:p>
    <w:p w14:paraId="70189B9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Supplementary Materials: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Input prompts for generative AI systems, survey instruments, or other collected evidence.</w:t>
      </w:r>
    </w:p>
    <w:p w14:paraId="036BC92D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3. Data Sharing Statement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Upon manuscript submission, all authors must complete a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Data Availability Statement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. This statement will be published with the article and must clearly describe:</w:t>
      </w:r>
    </w:p>
    <w:p w14:paraId="772A5B6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How and where the supporting data can be accessed, OR</w:t>
      </w:r>
    </w:p>
    <w:p w14:paraId="6AA65E1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 legal or ethical reasons why the data cannot be shared.</w:t>
      </w:r>
    </w:p>
    <w:p w14:paraId="39A785CA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4. Data Availability Options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Authors are strongly encouraged to deposit their data in trusted repositories. The option to "share upon request" is discouraged due to its lack of long-term reliability.</w:t>
      </w:r>
    </w:p>
    <w:p w14:paraId="48C8FF61">
      <w:pPr>
        <w:pStyle w:val="6"/>
        <w:keepNext w:val="0"/>
        <w:keepLines w:val="0"/>
        <w:widowControl/>
        <w:suppressLineNumbers w:val="0"/>
        <w:spacing w:before="0" w:beforeAutospacing="0" w:after="40" w:afterAutospacing="0" w:line="286" w:lineRule="atLeast"/>
        <w:ind w:left="0" w:right="0"/>
        <w:rPr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Preferred:</w:t>
      </w:r>
    </w:p>
    <w:p w14:paraId="286E328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Public Repository: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Data and code should be deposited in a recognized, subject-specific or general-purpose repository (e.g.,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Zenodo, Figshare, Hugging Face, GitHub (with DOI), CodeOcean, IEEE Dataport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).</w:t>
      </w:r>
    </w:p>
    <w:p w14:paraId="1A3541E0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Persistent Identifier: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A persistent identifier (DOI) must be provided in the manuscript.</w:t>
      </w:r>
    </w:p>
    <w:p w14:paraId="01A812C0">
      <w:pPr>
        <w:pStyle w:val="6"/>
        <w:keepNext w:val="0"/>
        <w:keepLines w:val="0"/>
        <w:widowControl/>
        <w:suppressLineNumbers w:val="0"/>
        <w:spacing w:before="0" w:beforeAutospacing="0" w:after="4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Restricted Access: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For data subject to legal, ethical, or copyright restrictions (e.g., containing personally identifiable information, proprietary third-party data), authors must:</w:t>
      </w:r>
    </w:p>
    <w:p w14:paraId="1E9FB48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Deposit the metadata and a description of the conditions for access in a public repository.</w:t>
      </w:r>
    </w:p>
    <w:p w14:paraId="44F7987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Provide a link to a formal Data Use Agreement or the process for requesting access.</w:t>
      </w:r>
    </w:p>
    <w:p w14:paraId="2104AC6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Commit to preserving the data and honoring access requests for a minimum of 10 years.</w:t>
      </w:r>
    </w:p>
    <w:p w14:paraId="7267E3C8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5. Citation Requirement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All research data, code, and materials must be cited in the reference list of the manuscript, just like any other scholarly output, using the persistent identifier provided by the repository.</w:t>
      </w:r>
    </w:p>
    <w:p w14:paraId="6CF5A8BD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6. Software and Code</w:t>
      </w:r>
    </w:p>
    <w:p w14:paraId="1480447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Code necessary to replicate the study's findings must be shared.</w:t>
      </w:r>
    </w:p>
    <w:p w14:paraId="51A6B65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 link to a public version-controlled repository (e.g., GitHub, GitLab) is acceptable, but authors are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strongly urged to archive a specific, citable snapshot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of the code in a repository that provides a DOI (e.g., Zenodo) to ensure long-term preservation.</w:t>
      </w:r>
    </w:p>
    <w:p w14:paraId="0982D7D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Code should be accompanied by a clear </w:t>
      </w:r>
      <w:r>
        <w:rPr>
          <w:rStyle w:val="5"/>
          <w:rFonts w:hint="default" w:ascii="Courier New" w:hAnsi="Courier New" w:eastAsia="Courier New" w:cs="Courier New"/>
          <w:i w:val="0"/>
          <w:iCs w:val="0"/>
          <w:caps w:val="0"/>
          <w:color w:val="404040"/>
          <w:spacing w:val="0"/>
          <w:sz w:val="18"/>
          <w:szCs w:val="18"/>
          <w:shd w:val="clear" w:fill="ECECEC"/>
        </w:rPr>
        <w:t>README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file and licensing information.</w:t>
      </w:r>
    </w:p>
    <w:p w14:paraId="4A4B2820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7. Licenses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Authors must assign an appropriate license to their shared data and code to clarify how it can be reused. We recommend:</w:t>
      </w:r>
    </w:p>
    <w:p w14:paraId="48210AF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Data: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Creative Commons licenses (e.g.,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CC0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for public domain dedication or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CC BY 4.0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for attribution).</w:t>
      </w:r>
    </w:p>
    <w:p w14:paraId="3DF4123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Code: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Open-source licenses (e.g., 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MIT, Apache 2.0, GPL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).</w:t>
      </w:r>
    </w:p>
    <w:p w14:paraId="68CDD263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8. Exemptions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Exemptions for sharing data may be granted for reasons of:</w:t>
      </w:r>
    </w:p>
    <w:p w14:paraId="33962358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National Security</w:t>
      </w:r>
    </w:p>
    <w:p w14:paraId="39FA492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Commercial Confidentiality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(e.g., trade secrets)</w:t>
      </w:r>
    </w:p>
    <w:p w14:paraId="624A8DB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Third-Party Copyright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(unless permission is granted)</w:t>
      </w:r>
    </w:p>
    <w:p w14:paraId="4BE2CB0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Ethical and Privacy Concerns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(e.g., human subject data that cannot be effectively de-identified)</w:t>
      </w:r>
    </w:p>
    <w:p w14:paraId="660A1B44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 claim for an exemption must be explicitly justified in the Data Availability Statement.</w:t>
      </w:r>
    </w:p>
    <w:p w14:paraId="17FA6F3B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9. Peer Review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Reviewers are encouraged to assess the availability, quality, and completeness of the data and code supporting the manuscript. The ability to replicate results is a positive factor in editorial decisions.</w:t>
      </w:r>
    </w:p>
    <w:p w14:paraId="353B13BF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10. Compliance and Enforcement</w:t>
      </w:r>
    </w:p>
    <w:p w14:paraId="10BDC6F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Submission of a manuscript implies that the authors agree to comply with this policy.</w:t>
      </w:r>
    </w:p>
    <w:p w14:paraId="07FF855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Failure to provide data upon reasonable request after publication, without a valid exemption, may result in a Correction or Editorial Expression of Concern being attached to the article.</w:t>
      </w:r>
    </w:p>
    <w:p w14:paraId="2B5ED302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  <w:rPr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In cases of severe non-compliance, the journal reserves the right to retract the publication.</w:t>
      </w:r>
    </w:p>
    <w:p w14:paraId="779DD685">
      <w:pPr>
        <w:pStyle w:val="6"/>
        <w:keepNext w:val="0"/>
        <w:keepLines w:val="0"/>
        <w:widowControl/>
        <w:suppressLineNumbers w:val="0"/>
        <w:shd w:val="clear" w:fill="FFFFFF"/>
        <w:spacing w:before="137" w:beforeAutospacing="0" w:after="137" w:afterAutospacing="0" w:line="286" w:lineRule="atLeast"/>
        <w:ind w:left="0" w:right="0" w:firstLine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11. Support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For assistance in finding an appropriate repository or creating a Data Management Plan, authors can consult resources such as:</w:t>
      </w:r>
    </w:p>
    <w:p w14:paraId="42C0885E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re3data.org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(Registry of Research Data Repositories)</w:t>
      </w:r>
    </w:p>
    <w:p w14:paraId="2AC01EB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Software Heritage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 (for software preservation)</w:t>
      </w:r>
    </w:p>
    <w:p w14:paraId="0520FD7F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86" w:lineRule="atLeast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  <w:shd w:val="clear" w:fill="FFFFFF"/>
        </w:rPr>
        <w:t>Their institutional library.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120E1"/>
    <w:rsid w:val="3661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Code"/>
    <w:basedOn w:val="3"/>
    <w:uiPriority w:val="0"/>
    <w:rPr>
      <w:rFonts w:ascii="Courier New" w:hAnsi="Courier New" w:cs="Courier New"/>
      <w:sz w:val="20"/>
      <w:szCs w:val="20"/>
    </w:rPr>
  </w:style>
  <w:style w:type="paragraph" w:styleId="6">
    <w:name w:val="Normal (Web)"/>
    <w:basedOn w:val="1"/>
    <w:uiPriority w:val="0"/>
    <w:rPr>
      <w:sz w:val="24"/>
      <w:szCs w:val="24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2025-08-28T12:09:00Z</dcterms:created>
  <dc:creator>KEN PEPRAH</dc:creator>
  <cp:lastModifiedBy>KEN PEPRAH</cp:lastModifiedBy>
  <dcterms:modified xsi:type="dcterms:W3CDTF">2025-08-28T12:16:46Z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AF0B8D36137F44BBAB3D0B7233F86ED2_11</vt:lpwstr>
  </property>
</Properties>
</file>